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7C8FC" w14:textId="69DBD5E3" w:rsidR="00C25E39" w:rsidRPr="008A3B63" w:rsidRDefault="00C25E39" w:rsidP="00C25E39">
      <w:pPr>
        <w:pStyle w:val="Titolo1"/>
      </w:pPr>
      <w:bookmarkStart w:id="0" w:name="_Toc168478783"/>
      <w:r w:rsidRPr="008A3B63">
        <w:t>Accordo sul livello dei servizi (Service Level Agreement, SLA)</w:t>
      </w:r>
      <w:bookmarkEnd w:id="0"/>
    </w:p>
    <w:p w14:paraId="1C266190" w14:textId="77777777" w:rsidR="00C25E39" w:rsidRPr="008A3B63" w:rsidRDefault="00C25E39" w:rsidP="00C25E39">
      <w:p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Il presente Accordo sul livello dei servizi (Service Level Agreement, SLA) stabilisce gli obblighi del Produttore e i diritti del Cliente Finale in relazione alle prestazioni del Prodotto.</w:t>
      </w:r>
    </w:p>
    <w:p w14:paraId="07798804"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2A3B2A8E"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3ADC58DC"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Il Prodotto sarà operativo e disponibile al Cliente Finale per almeno il 99,5% del tempo in qualsiasi mese solare.</w:t>
      </w:r>
    </w:p>
    <w:p w14:paraId="3249D081" w14:textId="77777777" w:rsidR="00C25E39" w:rsidRPr="008A3B63" w:rsidRDefault="00C25E39" w:rsidP="00C25E39">
      <w:pPr>
        <w:spacing w:after="0" w:line="276" w:lineRule="auto"/>
        <w:ind w:left="720" w:right="11"/>
        <w:jc w:val="both"/>
        <w:rPr>
          <w:rFonts w:asciiTheme="minorHAnsi" w:eastAsia="Exo" w:hAnsiTheme="minorHAnsi" w:cstheme="minorHAnsi"/>
        </w:rPr>
      </w:pPr>
    </w:p>
    <w:p w14:paraId="54D0C3DF"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Se la Percentuale uptime mensile non raggiunge il Livello di Servizio in un qualsiasi mese solare, il Cliente Finale avrà diritto a ricevere un Credito di giorni di servizio come segue:</w:t>
      </w:r>
    </w:p>
    <w:p w14:paraId="67F72823" w14:textId="77777777" w:rsidR="00C25E39" w:rsidRPr="008A3B63" w:rsidRDefault="00C25E39" w:rsidP="00C25E39">
      <w:pPr>
        <w:spacing w:after="0" w:line="276" w:lineRule="auto"/>
        <w:ind w:left="720" w:right="11"/>
        <w:jc w:val="both"/>
        <w:rPr>
          <w:rFonts w:asciiTheme="minorHAnsi" w:eastAsia="Exo" w:hAnsiTheme="minorHAnsi" w:cstheme="minorHAnsi"/>
        </w:rPr>
      </w:pPr>
    </w:p>
    <w:tbl>
      <w:tblPr>
        <w:tblW w:w="7650" w:type="dxa"/>
        <w:tblInd w:w="1260" w:type="dxa"/>
        <w:tblLayout w:type="fixed"/>
        <w:tblLook w:val="0400" w:firstRow="0" w:lastRow="0" w:firstColumn="0" w:lastColumn="0" w:noHBand="0" w:noVBand="1"/>
      </w:tblPr>
      <w:tblGrid>
        <w:gridCol w:w="3971"/>
        <w:gridCol w:w="3679"/>
      </w:tblGrid>
      <w:tr w:rsidR="00C25E39" w:rsidRPr="008A3B63" w14:paraId="3554781D" w14:textId="77777777" w:rsidTr="00724431">
        <w:tc>
          <w:tcPr>
            <w:tcW w:w="3971" w:type="dxa"/>
            <w:tcBorders>
              <w:top w:val="nil"/>
              <w:left w:val="nil"/>
              <w:bottom w:val="nil"/>
              <w:right w:val="nil"/>
            </w:tcBorders>
            <w:shd w:val="clear" w:color="auto" w:fill="0070C0"/>
            <w:tcMar>
              <w:top w:w="210" w:type="dxa"/>
              <w:left w:w="210" w:type="dxa"/>
              <w:bottom w:w="210" w:type="dxa"/>
              <w:right w:w="210" w:type="dxa"/>
            </w:tcMar>
            <w:vAlign w:val="bottom"/>
          </w:tcPr>
          <w:p w14:paraId="0FCBB6A9"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color w:val="FFFFFF"/>
              </w:rPr>
              <w:t>Percentuale di uptime mensile</w:t>
            </w:r>
          </w:p>
        </w:tc>
        <w:tc>
          <w:tcPr>
            <w:tcW w:w="3679" w:type="dxa"/>
            <w:tcBorders>
              <w:top w:val="nil"/>
              <w:left w:val="nil"/>
              <w:bottom w:val="nil"/>
              <w:right w:val="nil"/>
            </w:tcBorders>
            <w:shd w:val="clear" w:color="auto" w:fill="0070C0"/>
            <w:tcMar>
              <w:top w:w="210" w:type="dxa"/>
              <w:left w:w="210" w:type="dxa"/>
              <w:bottom w:w="210" w:type="dxa"/>
              <w:right w:w="210" w:type="dxa"/>
            </w:tcMar>
            <w:vAlign w:val="bottom"/>
          </w:tcPr>
          <w:p w14:paraId="152B331C"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color w:val="FFFFFF"/>
              </w:rPr>
              <w:t>Giorni di servizio accreditati</w:t>
            </w:r>
          </w:p>
        </w:tc>
      </w:tr>
      <w:tr w:rsidR="00C25E39" w:rsidRPr="008A3B63" w14:paraId="2322F9DE" w14:textId="77777777" w:rsidTr="00724431">
        <w:tc>
          <w:tcPr>
            <w:tcW w:w="3971" w:type="dxa"/>
            <w:tcBorders>
              <w:top w:val="nil"/>
              <w:left w:val="nil"/>
              <w:bottom w:val="nil"/>
              <w:right w:val="nil"/>
            </w:tcBorders>
            <w:tcMar>
              <w:top w:w="210" w:type="dxa"/>
              <w:left w:w="210" w:type="dxa"/>
              <w:bottom w:w="210" w:type="dxa"/>
              <w:right w:w="210" w:type="dxa"/>
            </w:tcMar>
            <w:vAlign w:val="bottom"/>
          </w:tcPr>
          <w:p w14:paraId="0490BA32"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rPr>
              <w:t>da 99% a &lt; 99,5%</w:t>
            </w:r>
          </w:p>
        </w:tc>
        <w:tc>
          <w:tcPr>
            <w:tcW w:w="3679" w:type="dxa"/>
            <w:tcBorders>
              <w:top w:val="nil"/>
              <w:left w:val="nil"/>
              <w:bottom w:val="nil"/>
              <w:right w:val="nil"/>
            </w:tcBorders>
            <w:tcMar>
              <w:top w:w="210" w:type="dxa"/>
              <w:left w:w="210" w:type="dxa"/>
              <w:bottom w:w="210" w:type="dxa"/>
              <w:right w:w="210" w:type="dxa"/>
            </w:tcMar>
            <w:vAlign w:val="bottom"/>
          </w:tcPr>
          <w:p w14:paraId="3F43B27B"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rPr>
              <w:t>5</w:t>
            </w:r>
          </w:p>
        </w:tc>
      </w:tr>
      <w:tr w:rsidR="00C25E39" w:rsidRPr="008A3B63" w14:paraId="42FD5C17" w14:textId="77777777" w:rsidTr="00724431">
        <w:tc>
          <w:tcPr>
            <w:tcW w:w="3971" w:type="dxa"/>
            <w:tcBorders>
              <w:top w:val="nil"/>
              <w:left w:val="nil"/>
              <w:bottom w:val="nil"/>
              <w:right w:val="nil"/>
            </w:tcBorders>
            <w:shd w:val="clear" w:color="auto" w:fill="F5F6F6"/>
            <w:tcMar>
              <w:top w:w="210" w:type="dxa"/>
              <w:left w:w="210" w:type="dxa"/>
              <w:bottom w:w="210" w:type="dxa"/>
              <w:right w:w="210" w:type="dxa"/>
            </w:tcMar>
            <w:vAlign w:val="bottom"/>
          </w:tcPr>
          <w:p w14:paraId="0FD883AE"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rPr>
              <w:t>&lt; 99%</w:t>
            </w:r>
          </w:p>
        </w:tc>
        <w:tc>
          <w:tcPr>
            <w:tcW w:w="3679" w:type="dxa"/>
            <w:tcBorders>
              <w:top w:val="nil"/>
              <w:left w:val="nil"/>
              <w:bottom w:val="nil"/>
              <w:right w:val="nil"/>
            </w:tcBorders>
            <w:shd w:val="clear" w:color="auto" w:fill="F5F6F6"/>
            <w:tcMar>
              <w:top w:w="210" w:type="dxa"/>
              <w:left w:w="210" w:type="dxa"/>
              <w:bottom w:w="210" w:type="dxa"/>
              <w:right w:w="210" w:type="dxa"/>
            </w:tcMar>
            <w:vAlign w:val="bottom"/>
          </w:tcPr>
          <w:p w14:paraId="00406F60" w14:textId="77777777" w:rsidR="00C25E39" w:rsidRPr="008A3B63" w:rsidRDefault="00C25E39" w:rsidP="00724431">
            <w:pPr>
              <w:spacing w:line="276" w:lineRule="auto"/>
              <w:ind w:right="11"/>
              <w:jc w:val="both"/>
              <w:rPr>
                <w:rFonts w:asciiTheme="minorHAnsi" w:eastAsia="Exo" w:hAnsiTheme="minorHAnsi" w:cstheme="minorHAnsi"/>
              </w:rPr>
            </w:pPr>
            <w:r w:rsidRPr="008A3B63">
              <w:rPr>
                <w:rFonts w:asciiTheme="minorHAnsi" w:eastAsia="Exo" w:hAnsiTheme="minorHAnsi" w:cstheme="minorHAnsi"/>
              </w:rPr>
              <w:t>10</w:t>
            </w:r>
          </w:p>
        </w:tc>
      </w:tr>
    </w:tbl>
    <w:p w14:paraId="0CC2AA43" w14:textId="77777777" w:rsidR="00C25E39" w:rsidRPr="008A3B63" w:rsidRDefault="00C25E39" w:rsidP="00C25E39">
      <w:pPr>
        <w:spacing w:after="0" w:line="276" w:lineRule="auto"/>
        <w:ind w:left="720" w:right="11"/>
        <w:jc w:val="both"/>
        <w:rPr>
          <w:rFonts w:asciiTheme="minorHAnsi" w:eastAsia="Exo" w:hAnsiTheme="minorHAnsi" w:cstheme="minorHAnsi"/>
        </w:rPr>
      </w:pPr>
    </w:p>
    <w:p w14:paraId="230A8E47" w14:textId="77777777" w:rsidR="00C25E39" w:rsidRPr="008755F6" w:rsidRDefault="00C25E39" w:rsidP="00C25E39">
      <w:pPr>
        <w:spacing w:after="0" w:line="276" w:lineRule="auto"/>
        <w:ind w:left="720" w:right="11"/>
        <w:jc w:val="both"/>
        <w:rPr>
          <w:rFonts w:asciiTheme="minorHAnsi" w:eastAsia="Exo" w:hAnsiTheme="minorHAnsi" w:cstheme="minorHAnsi"/>
          <w:sz w:val="18"/>
        </w:rPr>
      </w:pPr>
    </w:p>
    <w:p w14:paraId="67010DA3"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Il totale dei giorni di servizio massimo accreditato dal Produttore al Cliente Finale per tutti i tempi di inattività che si verificano in un singolo mese di calendario non supererà i 10 giorni. I giorni di servizio accreditati non possono essere scambiati o convertiti in importi in denaro.</w:t>
      </w:r>
    </w:p>
    <w:p w14:paraId="2E7509DF" w14:textId="77777777" w:rsidR="00C25E39" w:rsidRPr="008755F6" w:rsidRDefault="00C25E39" w:rsidP="00C25E39">
      <w:pPr>
        <w:spacing w:after="0" w:line="276" w:lineRule="auto"/>
        <w:ind w:left="720" w:right="11"/>
        <w:jc w:val="both"/>
        <w:rPr>
          <w:rFonts w:asciiTheme="minorHAnsi" w:eastAsia="Exo" w:hAnsiTheme="minorHAnsi" w:cstheme="minorHAnsi"/>
          <w:sz w:val="18"/>
        </w:rPr>
      </w:pPr>
    </w:p>
    <w:p w14:paraId="5B0879D1"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Al fine di ricevere uno qualsiasi dei Crediti di giorni di servizio descritti sopra, il Cliente Finale deve informare Il Produttore entro 30 giorni dal momento in cui si verifica una condizione tra quelle elencate nella tabella del punto II. Il mancato avviso entro i termini stabiliti farà decadere il diritto del Cliente Finale a ricevere un Credito di giorni di servizio.</w:t>
      </w:r>
    </w:p>
    <w:p w14:paraId="6F361D8A"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0A183671"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Il Livello dei servizi non si applica alle interruzioni di servizio:</w:t>
      </w:r>
    </w:p>
    <w:p w14:paraId="5DED318A"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6F926694"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causate da fattori al di fuori del ragionevole controllo del Produttore, incluso qualsiasi evento di forza maggiore o interruzione o impedimento all'accesso a Internet o problemi correlati al di là del punto di demarcazione del Produttore e dei suoi fornitori di infrastrutture;</w:t>
      </w:r>
    </w:p>
    <w:p w14:paraId="5E7627BC" w14:textId="77777777" w:rsidR="00C25E39" w:rsidRPr="008755F6" w:rsidRDefault="00C25E39" w:rsidP="00C25E39">
      <w:pPr>
        <w:spacing w:after="0" w:line="276" w:lineRule="auto"/>
        <w:ind w:left="1440" w:right="11"/>
        <w:jc w:val="both"/>
        <w:rPr>
          <w:rFonts w:asciiTheme="minorHAnsi" w:eastAsia="Exo" w:hAnsiTheme="minorHAnsi" w:cstheme="minorHAnsi"/>
          <w:sz w:val="18"/>
        </w:rPr>
      </w:pPr>
    </w:p>
    <w:p w14:paraId="75DF4DC1"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che risultino da fattori esterni, ovvero hardware o software del Cliente Finale e/o di terze parti;</w:t>
      </w:r>
    </w:p>
    <w:p w14:paraId="12B6EBFD" w14:textId="77777777" w:rsidR="00C25E39" w:rsidRPr="008A3B63" w:rsidRDefault="00C25E39" w:rsidP="00C25E39">
      <w:pPr>
        <w:spacing w:after="0" w:line="276" w:lineRule="auto"/>
        <w:ind w:right="11"/>
        <w:jc w:val="both"/>
        <w:rPr>
          <w:rFonts w:asciiTheme="minorHAnsi" w:eastAsia="Exo" w:hAnsiTheme="minorHAnsi" w:cstheme="minorHAnsi"/>
        </w:rPr>
      </w:pPr>
    </w:p>
    <w:p w14:paraId="0E87FA97"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che risultino dall'esecuzione della manutenzione o applicazione di aggiornamenti nel Prodotto, regolarmente annunciati dal Produttore;</w:t>
      </w:r>
    </w:p>
    <w:p w14:paraId="11A536BE"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0A31E03B"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associate a credenziali di valutazione e di prova;</w:t>
      </w:r>
    </w:p>
    <w:p w14:paraId="3673FCAB"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1AB0FFAB"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lastRenderedPageBreak/>
        <w:t>che risultino da qualsiasi fatto ad opera del Cliente o di chiunque acceda al Prodotto per mezzo delle credenziali di accesso del Cliente Finale (terze parti, inclusi automi e bot);</w:t>
      </w:r>
    </w:p>
    <w:p w14:paraId="134D0AE8"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0DA81A36" w14:textId="77777777" w:rsidR="00C25E39" w:rsidRPr="008A3B63" w:rsidRDefault="00C25E39" w:rsidP="00C25E39">
      <w:pPr>
        <w:numPr>
          <w:ilvl w:val="1"/>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 xml:space="preserve"> derivanti dalla sospensione del Prodotto e dalla cessazione dei diritti del Cliente Finale.</w:t>
      </w:r>
    </w:p>
    <w:p w14:paraId="05023860"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26AFF199" w14:textId="35B60754" w:rsidR="00C15E69" w:rsidRPr="00C15E69" w:rsidRDefault="00C25E39" w:rsidP="00C15E6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Il presente Accordo SLA è l'unico ed esclusivo rimedio del Cliente Finale in caso di mancato raggiungimento del Livello dei servizi da parte del Produttore.</w:t>
      </w:r>
    </w:p>
    <w:p w14:paraId="55452D9B" w14:textId="77777777" w:rsidR="00C25E39" w:rsidRPr="008755F6" w:rsidRDefault="00C25E39" w:rsidP="00C25E39">
      <w:pPr>
        <w:spacing w:after="0" w:line="276" w:lineRule="auto"/>
        <w:ind w:left="720" w:right="11"/>
        <w:jc w:val="both"/>
        <w:rPr>
          <w:rFonts w:asciiTheme="minorHAnsi" w:eastAsia="Exo" w:hAnsiTheme="minorHAnsi" w:cstheme="minorHAnsi"/>
          <w:sz w:val="18"/>
        </w:rPr>
      </w:pPr>
    </w:p>
    <w:p w14:paraId="59F3704B" w14:textId="77777777" w:rsidR="00C25E39" w:rsidRPr="008A3B63" w:rsidRDefault="00C25E39" w:rsidP="00C25E39">
      <w:pPr>
        <w:numPr>
          <w:ilvl w:val="0"/>
          <w:numId w:val="1"/>
        </w:numPr>
        <w:spacing w:after="0" w:line="276" w:lineRule="auto"/>
        <w:ind w:right="11"/>
        <w:jc w:val="both"/>
        <w:rPr>
          <w:rFonts w:asciiTheme="minorHAnsi" w:eastAsia="Exo" w:hAnsiTheme="minorHAnsi" w:cstheme="minorHAnsi"/>
        </w:rPr>
      </w:pPr>
      <w:r w:rsidRPr="008A3B63">
        <w:rPr>
          <w:rFonts w:asciiTheme="minorHAnsi" w:eastAsia="Exo" w:hAnsiTheme="minorHAnsi" w:cstheme="minorHAnsi"/>
        </w:rPr>
        <w:t>Definizioni:</w:t>
      </w:r>
    </w:p>
    <w:p w14:paraId="6B27D70B"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7271AD1D" w14:textId="77777777" w:rsidR="00C25E39" w:rsidRPr="008A3B63" w:rsidRDefault="00C25E39" w:rsidP="00C25E39">
      <w:pPr>
        <w:numPr>
          <w:ilvl w:val="1"/>
          <w:numId w:val="1"/>
        </w:numPr>
        <w:spacing w:after="0" w:line="276" w:lineRule="auto"/>
        <w:ind w:right="11"/>
        <w:jc w:val="both"/>
        <w:rPr>
          <w:rFonts w:asciiTheme="minorHAnsi" w:hAnsiTheme="minorHAnsi" w:cstheme="minorHAnsi"/>
        </w:rPr>
      </w:pPr>
      <w:r w:rsidRPr="008A3B63">
        <w:rPr>
          <w:rFonts w:asciiTheme="minorHAnsi" w:eastAsia="Exo" w:hAnsiTheme="minorHAnsi" w:cstheme="minorHAnsi"/>
        </w:rPr>
        <w:t>Per "</w:t>
      </w:r>
      <w:r w:rsidRPr="008A3B63">
        <w:rPr>
          <w:rFonts w:asciiTheme="minorHAnsi" w:eastAsia="Exo" w:hAnsiTheme="minorHAnsi" w:cstheme="minorHAnsi"/>
          <w:u w:val="single"/>
        </w:rPr>
        <w:t>Tempi di fermo</w:t>
      </w:r>
      <w:r w:rsidRPr="008A3B63">
        <w:rPr>
          <w:rFonts w:asciiTheme="minorHAnsi" w:eastAsia="Exo" w:hAnsiTheme="minorHAnsi" w:cstheme="minorHAnsi"/>
        </w:rPr>
        <w:t>" si intende il caso in cui il Prodotto non sia disponibile per un Cliente Finale a causa di guasti hardware, firmware o software, e come confermato sia dal Cliente Finale sia dal Produttore.</w:t>
      </w:r>
    </w:p>
    <w:p w14:paraId="0E0B35F0" w14:textId="77777777" w:rsidR="00C25E39" w:rsidRPr="008755F6" w:rsidRDefault="00C25E39" w:rsidP="00C25E39">
      <w:pPr>
        <w:spacing w:after="0" w:line="276" w:lineRule="auto"/>
        <w:ind w:left="1440" w:right="11"/>
        <w:jc w:val="both"/>
        <w:rPr>
          <w:rFonts w:asciiTheme="minorHAnsi" w:eastAsia="Exo" w:hAnsiTheme="minorHAnsi" w:cstheme="minorHAnsi"/>
          <w:sz w:val="18"/>
        </w:rPr>
      </w:pPr>
    </w:p>
    <w:p w14:paraId="5F20EA2A" w14:textId="77777777" w:rsidR="00C25E39" w:rsidRPr="008A3B63" w:rsidRDefault="00C25E39" w:rsidP="00C25E39">
      <w:pPr>
        <w:numPr>
          <w:ilvl w:val="1"/>
          <w:numId w:val="1"/>
        </w:numPr>
        <w:spacing w:after="0" w:line="276" w:lineRule="auto"/>
        <w:ind w:right="11"/>
        <w:jc w:val="both"/>
        <w:rPr>
          <w:rFonts w:asciiTheme="minorHAnsi" w:hAnsiTheme="minorHAnsi" w:cstheme="minorHAnsi"/>
        </w:rPr>
      </w:pPr>
      <w:r w:rsidRPr="008A3B63">
        <w:rPr>
          <w:rFonts w:asciiTheme="minorHAnsi" w:eastAsia="Exo" w:hAnsiTheme="minorHAnsi" w:cstheme="minorHAnsi"/>
        </w:rPr>
        <w:t>La "</w:t>
      </w:r>
      <w:r w:rsidRPr="008A3B63">
        <w:rPr>
          <w:rFonts w:asciiTheme="minorHAnsi" w:eastAsia="Exo" w:hAnsiTheme="minorHAnsi" w:cstheme="minorHAnsi"/>
          <w:u w:val="single"/>
        </w:rPr>
        <w:t>Percentuale uptime mensile</w:t>
      </w:r>
      <w:r w:rsidRPr="008A3B63">
        <w:rPr>
          <w:rFonts w:asciiTheme="minorHAnsi" w:eastAsia="Exo" w:hAnsiTheme="minorHAnsi" w:cstheme="minorHAnsi"/>
        </w:rPr>
        <w:t>" indica il numero totale di incrementi da 5 minuti in un mese solare meno il numero di incrementi da 5 minuti di Tempi di fermo subiti in un mese solare, diviso per il numero totale di incrementi da 5 minuti in un mese solare.</w:t>
      </w:r>
    </w:p>
    <w:p w14:paraId="0CC42D05" w14:textId="77777777" w:rsidR="00C25E39" w:rsidRPr="008755F6" w:rsidRDefault="00C25E39" w:rsidP="00C25E39">
      <w:pPr>
        <w:spacing w:after="0" w:line="276" w:lineRule="auto"/>
        <w:ind w:right="11"/>
        <w:jc w:val="both"/>
        <w:rPr>
          <w:rFonts w:asciiTheme="minorHAnsi" w:eastAsia="Exo" w:hAnsiTheme="minorHAnsi" w:cstheme="minorHAnsi"/>
          <w:sz w:val="18"/>
        </w:rPr>
      </w:pPr>
    </w:p>
    <w:p w14:paraId="5CFFD189" w14:textId="77777777" w:rsidR="00C25E39" w:rsidRPr="001070E9" w:rsidRDefault="00C25E39" w:rsidP="00C25E39">
      <w:pPr>
        <w:numPr>
          <w:ilvl w:val="1"/>
          <w:numId w:val="1"/>
        </w:numPr>
        <w:spacing w:after="0" w:line="276" w:lineRule="auto"/>
        <w:ind w:right="11"/>
        <w:jc w:val="both"/>
        <w:rPr>
          <w:rFonts w:asciiTheme="minorHAnsi" w:hAnsiTheme="minorHAnsi" w:cstheme="minorHAnsi"/>
        </w:rPr>
      </w:pPr>
      <w:r w:rsidRPr="008A3B63">
        <w:rPr>
          <w:rFonts w:asciiTheme="minorHAnsi" w:eastAsia="Exo" w:hAnsiTheme="minorHAnsi" w:cstheme="minorHAnsi"/>
        </w:rPr>
        <w:t>Il "</w:t>
      </w:r>
      <w:r w:rsidRPr="008A3B63">
        <w:rPr>
          <w:rFonts w:asciiTheme="minorHAnsi" w:eastAsia="Exo" w:hAnsiTheme="minorHAnsi" w:cstheme="minorHAnsi"/>
          <w:u w:val="single"/>
        </w:rPr>
        <w:t>Credito di giorni di servizio</w:t>
      </w:r>
      <w:r w:rsidRPr="008A3B63">
        <w:rPr>
          <w:rFonts w:asciiTheme="minorHAnsi" w:eastAsia="Exo" w:hAnsiTheme="minorHAnsi" w:cstheme="minorHAnsi"/>
        </w:rPr>
        <w:t>" indica il numero di giorni che il Produttore aggiungerà alla fine del periodo di validità, a titolo gratuito per il Cliente Finale e che saranno detratti proporzionalmente dal canone periodico stabilito nell’Offerta di Fornitura.</w:t>
      </w:r>
    </w:p>
    <w:p w14:paraId="7FDC4AE6" w14:textId="77777777" w:rsidR="00702BB1" w:rsidRDefault="00702BB1"/>
    <w:sectPr w:rsidR="00702BB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Exo">
    <w:altName w:val="Corbel Light"/>
    <w:panose1 w:val="00000000000000000000"/>
    <w:charset w:val="00"/>
    <w:family w:val="auto"/>
    <w:pitch w:val="variable"/>
    <w:sig w:usb0="A00000FF" w:usb1="4000204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F2579"/>
    <w:multiLevelType w:val="multilevel"/>
    <w:tmpl w:val="688633B4"/>
    <w:lvl w:ilvl="0">
      <w:start w:val="1"/>
      <w:numFmt w:val="lowerRoman"/>
      <w:lvlText w:val="%1."/>
      <w:lvlJc w:val="right"/>
      <w:pPr>
        <w:ind w:left="720" w:hanging="360"/>
      </w:pPr>
    </w:lvl>
    <w:lvl w:ilvl="1">
      <w:start w:val="1"/>
      <w:numFmt w:val="decimal"/>
      <w:lvlText w:val="%2."/>
      <w:lvlJc w:val="left"/>
      <w:pPr>
        <w:ind w:left="1440" w:hanging="360"/>
      </w:pPr>
      <w:rPr>
        <w:rFonts w:ascii="Calibri" w:eastAsia="Exo" w:hAnsi="Calibri" w:cs="Exo"/>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3010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C25E39"/>
    <w:rsid w:val="00146DFD"/>
    <w:rsid w:val="00194B8A"/>
    <w:rsid w:val="0059062C"/>
    <w:rsid w:val="00702BB1"/>
    <w:rsid w:val="00C15E69"/>
    <w:rsid w:val="00C25E39"/>
    <w:rsid w:val="00E906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26DE"/>
  <w15:chartTrackingRefBased/>
  <w15:docId w15:val="{41926392-1BD1-43B5-BCA9-7BF7F8E80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5E39"/>
    <w:rPr>
      <w:rFonts w:ascii="Calibri" w:eastAsia="Calibri" w:hAnsi="Calibri" w:cs="Calibri"/>
      <w:kern w:val="0"/>
      <w:lang w:val="it" w:eastAsia="it-IT"/>
    </w:rPr>
  </w:style>
  <w:style w:type="paragraph" w:styleId="Titolo1">
    <w:name w:val="heading 1"/>
    <w:basedOn w:val="Normale"/>
    <w:next w:val="Normale"/>
    <w:link w:val="Titolo1Carattere"/>
    <w:qFormat/>
    <w:rsid w:val="00C25E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25E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25E3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25E3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25E3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25E3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25E3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25E3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25E3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25E3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25E3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25E3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25E3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25E3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25E3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25E3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25E3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25E39"/>
    <w:rPr>
      <w:rFonts w:eastAsiaTheme="majorEastAsia" w:cstheme="majorBidi"/>
      <w:color w:val="272727" w:themeColor="text1" w:themeTint="D8"/>
    </w:rPr>
  </w:style>
  <w:style w:type="paragraph" w:styleId="Titolo">
    <w:name w:val="Title"/>
    <w:basedOn w:val="Normale"/>
    <w:next w:val="Normale"/>
    <w:link w:val="TitoloCarattere"/>
    <w:uiPriority w:val="10"/>
    <w:qFormat/>
    <w:rsid w:val="00C25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25E3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25E3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25E3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25E3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25E39"/>
    <w:rPr>
      <w:i/>
      <w:iCs/>
      <w:color w:val="404040" w:themeColor="text1" w:themeTint="BF"/>
    </w:rPr>
  </w:style>
  <w:style w:type="paragraph" w:styleId="Paragrafoelenco">
    <w:name w:val="List Paragraph"/>
    <w:basedOn w:val="Normale"/>
    <w:uiPriority w:val="34"/>
    <w:qFormat/>
    <w:rsid w:val="00C25E39"/>
    <w:pPr>
      <w:ind w:left="720"/>
      <w:contextualSpacing/>
    </w:pPr>
  </w:style>
  <w:style w:type="character" w:styleId="Enfasiintensa">
    <w:name w:val="Intense Emphasis"/>
    <w:basedOn w:val="Carpredefinitoparagrafo"/>
    <w:uiPriority w:val="21"/>
    <w:qFormat/>
    <w:rsid w:val="00C25E39"/>
    <w:rPr>
      <w:i/>
      <w:iCs/>
      <w:color w:val="2F5496" w:themeColor="accent1" w:themeShade="BF"/>
    </w:rPr>
  </w:style>
  <w:style w:type="paragraph" w:styleId="Citazioneintensa">
    <w:name w:val="Intense Quote"/>
    <w:basedOn w:val="Normale"/>
    <w:next w:val="Normale"/>
    <w:link w:val="CitazioneintensaCarattere"/>
    <w:uiPriority w:val="30"/>
    <w:qFormat/>
    <w:rsid w:val="00C25E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25E39"/>
    <w:rPr>
      <w:i/>
      <w:iCs/>
      <w:color w:val="2F5496" w:themeColor="accent1" w:themeShade="BF"/>
    </w:rPr>
  </w:style>
  <w:style w:type="character" w:styleId="Riferimentointenso">
    <w:name w:val="Intense Reference"/>
    <w:basedOn w:val="Carpredefinitoparagrafo"/>
    <w:uiPriority w:val="32"/>
    <w:qFormat/>
    <w:rsid w:val="00C25E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2676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Sartor</dc:creator>
  <cp:keywords/>
  <dc:description/>
  <cp:lastModifiedBy>Alberto Sartor</cp:lastModifiedBy>
  <cp:revision>2</cp:revision>
  <dcterms:created xsi:type="dcterms:W3CDTF">2025-09-15T11:01:00Z</dcterms:created>
  <dcterms:modified xsi:type="dcterms:W3CDTF">2025-09-15T11:07:00Z</dcterms:modified>
</cp:coreProperties>
</file>